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297BE">
      <w:pPr>
        <w:jc w:val="center"/>
        <w:rPr>
          <w:rFonts w:hint="eastAsia" w:ascii="黑体" w:hAnsi="黑体" w:eastAsia="黑体"/>
          <w:sz w:val="36"/>
          <w:szCs w:val="36"/>
        </w:rPr>
      </w:pPr>
    </w:p>
    <w:p w14:paraId="0EC684F7">
      <w:pPr>
        <w:jc w:val="center"/>
        <w:rPr>
          <w:rFonts w:hint="eastAsia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</w:rPr>
        <w:t>摩尔</w:t>
      </w:r>
      <w:r>
        <w:rPr>
          <w:rFonts w:hint="eastAsia" w:ascii="黑体" w:hAnsi="黑体" w:eastAsia="黑体"/>
          <w:sz w:val="36"/>
          <w:szCs w:val="36"/>
          <w:lang w:eastAsia="zh-CN"/>
        </w:rPr>
        <w:t>快干防锈</w:t>
      </w:r>
      <w:r>
        <w:rPr>
          <w:rFonts w:hint="eastAsia" w:ascii="黑体" w:hAnsi="黑体" w:eastAsia="黑体"/>
          <w:sz w:val="36"/>
          <w:szCs w:val="36"/>
        </w:rPr>
        <w:t>油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KG-3技术参数</w:t>
      </w:r>
    </w:p>
    <w:p w14:paraId="1A12E32B">
      <w:pPr>
        <w:jc w:val="center"/>
        <w:rPr>
          <w:rFonts w:hint="eastAsia" w:ascii="黑体" w:hAnsi="黑体" w:eastAsia="黑体"/>
          <w:sz w:val="36"/>
          <w:szCs w:val="36"/>
          <w:lang w:val="en-US" w:eastAsia="zh-CN"/>
        </w:rPr>
      </w:pPr>
      <w:bookmarkStart w:id="0" w:name="_GoBack"/>
      <w:bookmarkEnd w:id="0"/>
    </w:p>
    <w:p w14:paraId="18D5C838">
      <w:pPr>
        <w:snapToGrid w:val="0"/>
        <w:spacing w:before="312" w:beforeLines="100" w:after="312" w:afterLines="100" w:line="240" w:lineRule="atLeast"/>
        <w:contextualSpacing/>
        <w:rPr>
          <w:rFonts w:hint="eastAsia" w:ascii="楷体" w:hAnsi="楷体" w:eastAsia="楷体" w:cs="楷体"/>
          <w:w w:val="90"/>
          <w:sz w:val="30"/>
          <w:szCs w:val="30"/>
        </w:rPr>
      </w:pPr>
      <w:r>
        <w:rPr>
          <w:rFonts w:hint="eastAsia"/>
          <w:w w:val="90"/>
          <w:sz w:val="30"/>
          <w:szCs w:val="30"/>
        </w:rPr>
        <w:t>1</w:t>
      </w:r>
      <w:r>
        <w:rPr>
          <w:rFonts w:hint="eastAsia" w:ascii="楷体" w:hAnsi="楷体" w:eastAsia="楷体" w:cs="楷体"/>
          <w:w w:val="90"/>
          <w:sz w:val="30"/>
          <w:szCs w:val="30"/>
        </w:rPr>
        <w:t>、性能说明</w:t>
      </w:r>
    </w:p>
    <w:p w14:paraId="04A18ED4">
      <w:pPr>
        <w:snapToGrid w:val="0"/>
        <w:spacing w:before="312" w:beforeLines="100" w:after="312" w:afterLines="100" w:line="240" w:lineRule="atLeast"/>
        <w:ind w:left="554" w:leftChars="264" w:firstLine="0" w:firstLineChars="0"/>
        <w:contextualSpacing/>
        <w:rPr>
          <w:rFonts w:hint="eastAsia" w:ascii="楷体" w:hAnsi="楷体" w:eastAsia="楷体" w:cs="楷体"/>
          <w:w w:val="90"/>
          <w:sz w:val="30"/>
          <w:szCs w:val="30"/>
        </w:rPr>
      </w:pPr>
      <w:r>
        <w:rPr>
          <w:rFonts w:hint="eastAsia" w:ascii="楷体" w:hAnsi="楷体" w:eastAsia="楷体" w:cs="楷体"/>
          <w:w w:val="90"/>
          <w:sz w:val="30"/>
          <w:szCs w:val="30"/>
        </w:rPr>
        <w:t>本品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是由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进口</w:t>
      </w:r>
      <w:r>
        <w:rPr>
          <w:rFonts w:hint="eastAsia" w:ascii="楷体" w:hAnsi="楷体" w:eastAsia="楷体" w:cs="楷体"/>
          <w:w w:val="90"/>
          <w:sz w:val="30"/>
          <w:szCs w:val="30"/>
        </w:rPr>
        <w:t>防锈添加剂与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挥发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性</w:t>
      </w:r>
      <w:r>
        <w:rPr>
          <w:rFonts w:hint="eastAsia" w:ascii="楷体" w:hAnsi="楷体" w:eastAsia="楷体" w:cs="楷体"/>
          <w:w w:val="90"/>
          <w:sz w:val="30"/>
          <w:szCs w:val="30"/>
        </w:rPr>
        <w:t>溶剂组合而成，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溶剂挥发后</w:t>
      </w:r>
      <w:r>
        <w:rPr>
          <w:rFonts w:hint="eastAsia" w:ascii="楷体" w:hAnsi="楷体" w:eastAsia="楷体" w:cs="楷体"/>
          <w:w w:val="90"/>
          <w:sz w:val="30"/>
          <w:szCs w:val="30"/>
        </w:rPr>
        <w:t>在工件表面形成致密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防锈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保护膜，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具有很好的抗湿、抗盐雾以及防恶劣环境的功能，不会产生黄斑。该油品不属于危化品。符合欧盟禁用物质环保标准。</w:t>
      </w:r>
    </w:p>
    <w:p w14:paraId="3E8B5406">
      <w:pPr>
        <w:snapToGrid w:val="0"/>
        <w:spacing w:before="312" w:beforeLines="100" w:after="312" w:afterLines="100" w:line="240" w:lineRule="atLeast"/>
        <w:ind w:left="539" w:hanging="540" w:hangingChars="200"/>
        <w:contextualSpacing/>
        <w:rPr>
          <w:rFonts w:hint="eastAsia" w:ascii="楷体" w:hAnsi="楷体" w:eastAsia="楷体" w:cs="楷体"/>
          <w:w w:val="90"/>
          <w:sz w:val="30"/>
          <w:szCs w:val="30"/>
        </w:rPr>
      </w:pPr>
      <w:r>
        <w:rPr>
          <w:rFonts w:hint="eastAsia" w:ascii="楷体" w:hAnsi="楷体" w:eastAsia="楷体" w:cs="楷体"/>
          <w:w w:val="90"/>
          <w:sz w:val="30"/>
          <w:szCs w:val="30"/>
        </w:rPr>
        <w:t>2、用途范围</w:t>
      </w:r>
    </w:p>
    <w:p w14:paraId="40EC323C">
      <w:pPr>
        <w:snapToGrid w:val="0"/>
        <w:spacing w:before="312" w:beforeLines="100" w:after="312" w:afterLines="100" w:line="240" w:lineRule="atLeast"/>
        <w:ind w:left="554" w:leftChars="264" w:firstLine="0" w:firstLineChars="0"/>
        <w:contextualSpacing/>
        <w:rPr>
          <w:rFonts w:hint="default" w:ascii="楷体" w:hAnsi="楷体" w:eastAsia="楷体" w:cs="楷体"/>
          <w:w w:val="9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w w:val="90"/>
          <w:sz w:val="30"/>
          <w:szCs w:val="30"/>
        </w:rPr>
        <w:t>适用于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多种行业的</w:t>
      </w:r>
      <w:r>
        <w:rPr>
          <w:rFonts w:hint="eastAsia" w:ascii="楷体" w:hAnsi="楷体" w:eastAsia="楷体" w:cs="楷体"/>
          <w:w w:val="90"/>
          <w:sz w:val="30"/>
          <w:szCs w:val="30"/>
        </w:rPr>
        <w:t>钢件、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铸铁件、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铜件</w:t>
      </w:r>
      <w:r>
        <w:rPr>
          <w:rFonts w:hint="eastAsia" w:ascii="楷体" w:hAnsi="楷体" w:eastAsia="楷体" w:cs="楷体"/>
          <w:w w:val="90"/>
          <w:sz w:val="30"/>
          <w:szCs w:val="30"/>
        </w:rPr>
        <w:t>的防锈，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。</w:t>
      </w:r>
    </w:p>
    <w:p w14:paraId="68B326E4">
      <w:pPr>
        <w:snapToGrid w:val="0"/>
        <w:spacing w:before="312" w:beforeLines="100" w:after="312" w:afterLines="100" w:line="240" w:lineRule="atLeast"/>
        <w:ind w:left="539" w:hanging="540" w:hangingChars="200"/>
        <w:contextualSpacing/>
        <w:rPr>
          <w:rFonts w:hint="eastAsia" w:ascii="楷体" w:hAnsi="楷体" w:eastAsia="楷体" w:cs="楷体"/>
          <w:w w:val="90"/>
          <w:sz w:val="30"/>
          <w:szCs w:val="30"/>
        </w:rPr>
      </w:pPr>
      <w:r>
        <w:rPr>
          <w:rFonts w:hint="eastAsia" w:ascii="楷体" w:hAnsi="楷体" w:eastAsia="楷体" w:cs="楷体"/>
          <w:w w:val="90"/>
          <w:sz w:val="30"/>
          <w:szCs w:val="30"/>
        </w:rPr>
        <w:t>3、使用方法</w:t>
      </w:r>
    </w:p>
    <w:p w14:paraId="77A0160D">
      <w:pPr>
        <w:snapToGrid w:val="0"/>
        <w:spacing w:before="312" w:beforeLines="100" w:after="312" w:afterLines="100" w:line="240" w:lineRule="atLeast"/>
        <w:ind w:left="526" w:leftChars="122" w:hanging="270" w:hangingChars="100"/>
        <w:contextualSpacing/>
        <w:rPr>
          <w:rFonts w:hint="eastAsia" w:ascii="楷体" w:hAnsi="楷体" w:eastAsia="楷体" w:cs="楷体"/>
          <w:w w:val="90"/>
          <w:sz w:val="30"/>
          <w:szCs w:val="30"/>
          <w:lang w:eastAsia="zh-CN"/>
        </w:rPr>
      </w:pP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A，</w:t>
      </w:r>
      <w:r>
        <w:rPr>
          <w:rFonts w:hint="eastAsia" w:ascii="楷体" w:hAnsi="楷体" w:eastAsia="楷体" w:cs="楷体"/>
          <w:w w:val="90"/>
          <w:sz w:val="30"/>
          <w:szCs w:val="30"/>
        </w:rPr>
        <w:t>工件必须洗净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无水</w:t>
      </w:r>
      <w:r>
        <w:rPr>
          <w:rFonts w:hint="eastAsia" w:ascii="楷体" w:hAnsi="楷体" w:eastAsia="楷体" w:cs="楷体"/>
          <w:w w:val="90"/>
          <w:sz w:val="30"/>
          <w:szCs w:val="30"/>
        </w:rPr>
        <w:t>后才能进行防锈处理。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B，余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油沥干并彻底挥发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表面成膜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后方可包装。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C，不可甩干使用！D、不可用抹布上油！E、不可工件带40度以上温度上油！F、上油</w:t>
      </w:r>
      <w:r>
        <w:rPr>
          <w:rFonts w:hint="eastAsia" w:ascii="楷体" w:hAnsi="楷体" w:eastAsia="楷体" w:cs="楷体"/>
          <w:w w:val="90"/>
          <w:sz w:val="30"/>
          <w:szCs w:val="30"/>
        </w:rPr>
        <w:t>方式有浸泡、涂刷和喷淋，以浸泡为最佳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，既省油又可靠。</w:t>
      </w:r>
    </w:p>
    <w:p w14:paraId="4D5D806D">
      <w:pPr>
        <w:snapToGrid w:val="0"/>
        <w:spacing w:before="312" w:beforeLines="100" w:after="312" w:afterLines="100" w:line="240" w:lineRule="atLeast"/>
        <w:ind w:left="539" w:hanging="540" w:hangingChars="200"/>
        <w:contextualSpacing/>
        <w:rPr>
          <w:rFonts w:hint="eastAsia" w:ascii="楷体" w:hAnsi="楷体" w:eastAsia="楷体" w:cs="楷体"/>
          <w:w w:val="90"/>
          <w:sz w:val="30"/>
          <w:szCs w:val="30"/>
        </w:rPr>
      </w:pPr>
      <w:r>
        <w:rPr>
          <w:rFonts w:hint="eastAsia" w:ascii="楷体" w:hAnsi="楷体" w:eastAsia="楷体" w:cs="楷体"/>
          <w:w w:val="90"/>
          <w:sz w:val="30"/>
          <w:szCs w:val="30"/>
        </w:rPr>
        <w:t>4、本品特点</w:t>
      </w:r>
    </w:p>
    <w:p w14:paraId="0F5BC135">
      <w:pPr>
        <w:snapToGrid w:val="0"/>
        <w:spacing w:before="312" w:beforeLines="100" w:after="312" w:afterLines="100" w:line="240" w:lineRule="atLeast"/>
        <w:ind w:left="554" w:leftChars="264" w:firstLine="0" w:firstLineChars="0"/>
        <w:contextualSpacing/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w w:val="90"/>
          <w:sz w:val="30"/>
          <w:szCs w:val="30"/>
        </w:rPr>
        <w:t>防锈期长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，无包装可防锈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1年</w:t>
      </w:r>
      <w:r>
        <w:rPr>
          <w:rFonts w:hint="eastAsia" w:ascii="楷体" w:hAnsi="楷体" w:eastAsia="楷体" w:cs="楷体"/>
          <w:w w:val="90"/>
          <w:sz w:val="30"/>
          <w:szCs w:val="30"/>
        </w:rPr>
        <w:t>，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有塑料袋包装可防锈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3-5年，</w:t>
      </w:r>
      <w:r>
        <w:rPr>
          <w:rFonts w:hint="eastAsia" w:ascii="楷体" w:hAnsi="楷体" w:eastAsia="楷体" w:cs="楷体"/>
          <w:w w:val="90"/>
          <w:sz w:val="30"/>
          <w:szCs w:val="30"/>
        </w:rPr>
        <w:t>防锈膜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薄，</w:t>
      </w:r>
      <w:r>
        <w:rPr>
          <w:rFonts w:hint="eastAsia" w:ascii="楷体" w:hAnsi="楷体" w:eastAsia="楷体" w:cs="楷体"/>
          <w:w w:val="90"/>
          <w:sz w:val="30"/>
          <w:szCs w:val="30"/>
        </w:rPr>
        <w:t>无油感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、</w:t>
      </w:r>
      <w:r>
        <w:rPr>
          <w:rFonts w:hint="eastAsia" w:ascii="楷体" w:hAnsi="楷体" w:eastAsia="楷体" w:cs="楷体"/>
          <w:w w:val="90"/>
          <w:sz w:val="30"/>
          <w:szCs w:val="30"/>
        </w:rPr>
        <w:t>无粘性、气味小、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干得快、不留斑，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并具有脱水功能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。粘度低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而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耐用。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油膜在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碱液中易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清洗被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去除。</w:t>
      </w:r>
      <w:r>
        <w:rPr>
          <w:rFonts w:hint="eastAsia" w:ascii="楷体" w:hAnsi="楷体" w:eastAsia="楷体" w:cs="楷体"/>
          <w:w w:val="90"/>
          <w:sz w:val="30"/>
          <w:szCs w:val="30"/>
          <w:lang w:val="en-US" w:eastAsia="zh-CN"/>
        </w:rPr>
        <w:t>过夏天绝不生锈</w:t>
      </w:r>
      <w:r>
        <w:rPr>
          <w:rFonts w:hint="eastAsia" w:ascii="楷体" w:hAnsi="楷体" w:eastAsia="楷体" w:cs="楷体"/>
          <w:w w:val="90"/>
          <w:sz w:val="30"/>
          <w:szCs w:val="30"/>
          <w:lang w:eastAsia="zh-CN"/>
        </w:rPr>
        <w:t>。</w:t>
      </w:r>
    </w:p>
    <w:p w14:paraId="51C3B68A">
      <w:pPr>
        <w:snapToGrid w:val="0"/>
        <w:spacing w:before="312" w:beforeLines="100" w:after="312" w:afterLines="100" w:line="240" w:lineRule="atLeast"/>
        <w:ind w:firstLine="3510" w:firstLineChars="1300"/>
        <w:contextualSpacing/>
        <w:rPr>
          <w:rFonts w:hint="eastAsia" w:ascii="黑体" w:hAnsi="黑体" w:eastAsia="黑体"/>
          <w:w w:val="90"/>
          <w:sz w:val="30"/>
          <w:szCs w:val="30"/>
        </w:rPr>
      </w:pPr>
      <w:r>
        <w:rPr>
          <w:rFonts w:hint="eastAsia" w:ascii="黑体" w:hAnsi="黑体" w:eastAsia="黑体"/>
          <w:w w:val="90"/>
          <w:sz w:val="30"/>
          <w:szCs w:val="30"/>
        </w:rPr>
        <w:t>技术参数</w:t>
      </w:r>
    </w:p>
    <w:p w14:paraId="4E04A675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  <w:u w:val="single"/>
        </w:rPr>
      </w:pPr>
      <w:r>
        <w:rPr>
          <w:rFonts w:hint="eastAsia"/>
          <w:w w:val="90"/>
          <w:sz w:val="30"/>
          <w:szCs w:val="30"/>
          <w:u w:val="single"/>
        </w:rPr>
        <w:t xml:space="preserve">                                                               </w:t>
      </w:r>
    </w:p>
    <w:p w14:paraId="7393BE75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  <w:u w:val="single"/>
        </w:rPr>
      </w:pPr>
    </w:p>
    <w:p w14:paraId="29A9D41C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</w:rPr>
      </w:pPr>
      <w:r>
        <w:rPr>
          <w:rFonts w:hint="eastAsia"/>
          <w:w w:val="90"/>
          <w:sz w:val="30"/>
          <w:szCs w:val="30"/>
        </w:rPr>
        <w:t xml:space="preserve">颜色：              </w:t>
      </w:r>
      <w:r>
        <w:rPr>
          <w:rFonts w:hint="eastAsia"/>
          <w:w w:val="90"/>
          <w:sz w:val="30"/>
          <w:szCs w:val="30"/>
          <w:lang w:eastAsia="zh-CN"/>
        </w:rPr>
        <w:t>浅</w:t>
      </w:r>
      <w:r>
        <w:rPr>
          <w:rFonts w:hint="eastAsia"/>
          <w:w w:val="90"/>
          <w:sz w:val="30"/>
          <w:szCs w:val="30"/>
          <w:lang w:val="en-US" w:eastAsia="zh-CN"/>
        </w:rPr>
        <w:t xml:space="preserve"> </w:t>
      </w:r>
      <w:r>
        <w:rPr>
          <w:rFonts w:hint="eastAsia"/>
          <w:w w:val="90"/>
          <w:sz w:val="30"/>
          <w:szCs w:val="30"/>
        </w:rPr>
        <w:t xml:space="preserve">黄 </w:t>
      </w:r>
      <w:r>
        <w:rPr>
          <w:rFonts w:hint="eastAsia"/>
          <w:w w:val="90"/>
          <w:sz w:val="30"/>
          <w:szCs w:val="30"/>
          <w:lang w:eastAsia="zh-CN"/>
        </w:rPr>
        <w:t>色</w:t>
      </w:r>
      <w:r>
        <w:rPr>
          <w:rFonts w:hint="eastAsia"/>
          <w:w w:val="90"/>
          <w:sz w:val="30"/>
          <w:szCs w:val="30"/>
        </w:rPr>
        <w:t xml:space="preserve">                          目测</w:t>
      </w:r>
    </w:p>
    <w:p w14:paraId="47003A19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</w:rPr>
      </w:pPr>
      <w:r>
        <w:rPr>
          <w:rFonts w:hint="eastAsia"/>
          <w:w w:val="90"/>
          <w:sz w:val="30"/>
          <w:szCs w:val="30"/>
        </w:rPr>
        <w:t xml:space="preserve">闪点：         </w:t>
      </w:r>
      <w:r>
        <w:rPr>
          <w:rFonts w:hint="eastAsia"/>
          <w:w w:val="90"/>
          <w:sz w:val="30"/>
          <w:szCs w:val="30"/>
          <w:lang w:val="en-US" w:eastAsia="zh-CN"/>
        </w:rPr>
        <w:t xml:space="preserve">   </w:t>
      </w:r>
      <w:r>
        <w:rPr>
          <w:rFonts w:hint="eastAsia"/>
          <w:w w:val="90"/>
          <w:sz w:val="30"/>
          <w:szCs w:val="30"/>
        </w:rPr>
        <w:t xml:space="preserve"> </w:t>
      </w:r>
      <w:r>
        <w:rPr>
          <w:rFonts w:hint="eastAsia"/>
          <w:w w:val="90"/>
          <w:sz w:val="30"/>
          <w:szCs w:val="30"/>
          <w:lang w:val="en-US" w:eastAsia="zh-CN"/>
        </w:rPr>
        <w:t>61-68</w:t>
      </w:r>
      <w:r>
        <w:rPr>
          <w:rFonts w:hint="eastAsia"/>
          <w:w w:val="90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w w:val="90"/>
          <w:sz w:val="30"/>
          <w:szCs w:val="30"/>
        </w:rPr>
        <w:t>℃</w:t>
      </w:r>
      <w:r>
        <w:rPr>
          <w:rFonts w:hint="eastAsia"/>
          <w:w w:val="90"/>
          <w:sz w:val="30"/>
          <w:szCs w:val="30"/>
        </w:rPr>
        <w:t xml:space="preserve">                       </w:t>
      </w:r>
      <w:r>
        <w:rPr>
          <w:rFonts w:hint="eastAsia"/>
          <w:w w:val="90"/>
          <w:sz w:val="30"/>
          <w:szCs w:val="30"/>
          <w:lang w:val="en-US" w:eastAsia="zh-CN"/>
        </w:rPr>
        <w:t xml:space="preserve">    </w:t>
      </w:r>
      <w:r>
        <w:rPr>
          <w:rFonts w:hint="eastAsia"/>
          <w:w w:val="90"/>
          <w:sz w:val="30"/>
          <w:szCs w:val="30"/>
        </w:rPr>
        <w:t>GB/T261</w:t>
      </w:r>
    </w:p>
    <w:p w14:paraId="65370428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</w:rPr>
      </w:pPr>
      <w:r>
        <w:rPr>
          <w:rFonts w:hint="eastAsia"/>
          <w:w w:val="90"/>
          <w:sz w:val="30"/>
          <w:szCs w:val="30"/>
        </w:rPr>
        <w:t>使用温度：        -</w:t>
      </w:r>
      <w:r>
        <w:rPr>
          <w:rFonts w:hint="eastAsia"/>
          <w:w w:val="90"/>
          <w:sz w:val="30"/>
          <w:szCs w:val="30"/>
          <w:lang w:val="en-US" w:eastAsia="zh-CN"/>
        </w:rPr>
        <w:t>1</w:t>
      </w:r>
      <w:r>
        <w:rPr>
          <w:rFonts w:hint="eastAsia"/>
          <w:w w:val="90"/>
          <w:sz w:val="30"/>
          <w:szCs w:val="30"/>
        </w:rPr>
        <w:t xml:space="preserve">0 C --- </w:t>
      </w:r>
      <w:r>
        <w:rPr>
          <w:rFonts w:hint="eastAsia"/>
          <w:w w:val="90"/>
          <w:sz w:val="30"/>
          <w:szCs w:val="30"/>
          <w:lang w:val="en-US" w:eastAsia="zh-CN"/>
        </w:rPr>
        <w:t>40</w:t>
      </w:r>
      <w:r>
        <w:rPr>
          <w:rFonts w:hint="eastAsia"/>
          <w:w w:val="90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w w:val="90"/>
          <w:sz w:val="30"/>
          <w:szCs w:val="30"/>
        </w:rPr>
        <w:t>℃</w:t>
      </w:r>
      <w:r>
        <w:rPr>
          <w:rFonts w:hint="eastAsia"/>
          <w:w w:val="90"/>
          <w:sz w:val="30"/>
          <w:szCs w:val="30"/>
        </w:rPr>
        <w:t xml:space="preserve">                        SH/T0211</w:t>
      </w:r>
    </w:p>
    <w:p w14:paraId="7D000345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</w:rPr>
      </w:pPr>
      <w:r>
        <w:rPr>
          <w:rFonts w:hint="eastAsia"/>
          <w:w w:val="90"/>
          <w:sz w:val="30"/>
          <w:szCs w:val="30"/>
        </w:rPr>
        <w:t>盐雾试验：        45</w:t>
      </w:r>
      <w:r>
        <w:rPr>
          <w:w w:val="90"/>
          <w:sz w:val="30"/>
          <w:szCs w:val="30"/>
        </w:rPr>
        <w:t>#</w:t>
      </w:r>
      <w:r>
        <w:rPr>
          <w:rFonts w:hint="eastAsia"/>
          <w:w w:val="90"/>
          <w:sz w:val="30"/>
          <w:szCs w:val="30"/>
        </w:rPr>
        <w:t xml:space="preserve">钢  </w:t>
      </w:r>
      <w:r>
        <w:rPr>
          <w:rFonts w:hint="eastAsia"/>
          <w:w w:val="90"/>
          <w:sz w:val="30"/>
          <w:szCs w:val="30"/>
          <w:lang w:val="en-US" w:eastAsia="zh-CN"/>
        </w:rPr>
        <w:t>18-24</w:t>
      </w:r>
      <w:r>
        <w:rPr>
          <w:rFonts w:hint="eastAsia"/>
          <w:w w:val="90"/>
          <w:sz w:val="30"/>
          <w:szCs w:val="30"/>
        </w:rPr>
        <w:t xml:space="preserve">h       </w:t>
      </w:r>
      <w:r>
        <w:rPr>
          <w:rFonts w:hint="eastAsia"/>
          <w:w w:val="90"/>
          <w:sz w:val="30"/>
          <w:szCs w:val="30"/>
          <w:lang w:val="en-US" w:eastAsia="zh-CN"/>
        </w:rPr>
        <w:t xml:space="preserve">      </w:t>
      </w:r>
      <w:r>
        <w:rPr>
          <w:rFonts w:hint="eastAsia"/>
          <w:w w:val="90"/>
          <w:sz w:val="30"/>
          <w:szCs w:val="30"/>
        </w:rPr>
        <w:t xml:space="preserve">          SH/T0081</w:t>
      </w:r>
    </w:p>
    <w:p w14:paraId="60EB07DA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</w:rPr>
      </w:pPr>
      <w:r>
        <w:rPr>
          <w:rFonts w:hint="eastAsia"/>
          <w:w w:val="90"/>
          <w:sz w:val="30"/>
          <w:szCs w:val="30"/>
        </w:rPr>
        <w:t xml:space="preserve">膜厚度：           </w:t>
      </w:r>
      <w:r>
        <w:rPr>
          <w:rFonts w:hint="eastAsia"/>
          <w:w w:val="90"/>
          <w:sz w:val="30"/>
          <w:szCs w:val="30"/>
          <w:lang w:val="en-US" w:eastAsia="zh-CN"/>
        </w:rPr>
        <w:t>50</w:t>
      </w:r>
      <w:r>
        <w:rPr>
          <w:rFonts w:hint="eastAsia" w:ascii="Batang" w:hAnsi="Batang" w:eastAsia="Batang"/>
          <w:w w:val="90"/>
          <w:sz w:val="30"/>
          <w:szCs w:val="30"/>
        </w:rPr>
        <w:t>µ</w:t>
      </w:r>
      <w:r>
        <w:rPr>
          <w:rFonts w:hint="eastAsia"/>
          <w:w w:val="90"/>
          <w:sz w:val="30"/>
          <w:szCs w:val="30"/>
        </w:rPr>
        <w:t xml:space="preserve">m                           </w:t>
      </w:r>
      <w:r>
        <w:rPr>
          <w:rFonts w:hint="eastAsia"/>
          <w:w w:val="90"/>
          <w:sz w:val="30"/>
          <w:szCs w:val="30"/>
          <w:lang w:val="en-US" w:eastAsia="zh-CN"/>
        </w:rPr>
        <w:t xml:space="preserve">   </w:t>
      </w:r>
      <w:r>
        <w:rPr>
          <w:rFonts w:hint="eastAsia"/>
          <w:w w:val="90"/>
          <w:sz w:val="30"/>
          <w:szCs w:val="30"/>
        </w:rPr>
        <w:t>SH/T0105</w:t>
      </w:r>
    </w:p>
    <w:p w14:paraId="16C558D3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</w:rPr>
      </w:pPr>
      <w:r>
        <w:rPr>
          <w:rFonts w:hint="eastAsia"/>
          <w:w w:val="90"/>
          <w:sz w:val="30"/>
          <w:szCs w:val="30"/>
        </w:rPr>
        <w:t>粘度（25</w:t>
      </w:r>
      <w:r>
        <w:rPr>
          <w:rFonts w:hint="eastAsia" w:ascii="宋体" w:hAnsi="宋体" w:eastAsia="宋体" w:cs="宋体"/>
          <w:w w:val="90"/>
          <w:sz w:val="30"/>
          <w:szCs w:val="30"/>
        </w:rPr>
        <w:t>℃</w:t>
      </w:r>
      <w:r>
        <w:rPr>
          <w:rFonts w:hint="eastAsia"/>
          <w:w w:val="90"/>
          <w:sz w:val="30"/>
          <w:szCs w:val="30"/>
        </w:rPr>
        <w:t xml:space="preserve">）：      </w:t>
      </w:r>
      <w:r>
        <w:rPr>
          <w:rFonts w:hint="eastAsia"/>
          <w:w w:val="90"/>
          <w:sz w:val="30"/>
          <w:szCs w:val="30"/>
          <w:lang w:val="en-US" w:eastAsia="zh-CN"/>
        </w:rPr>
        <w:t>2</w:t>
      </w:r>
      <w:r>
        <w:rPr>
          <w:rFonts w:hint="eastAsia"/>
          <w:w w:val="90"/>
          <w:sz w:val="30"/>
          <w:szCs w:val="30"/>
        </w:rPr>
        <w:t>.</w:t>
      </w:r>
      <w:r>
        <w:rPr>
          <w:rFonts w:hint="eastAsia"/>
          <w:w w:val="90"/>
          <w:sz w:val="30"/>
          <w:szCs w:val="30"/>
          <w:lang w:val="en-US" w:eastAsia="zh-CN"/>
        </w:rPr>
        <w:t>2---4.3</w:t>
      </w:r>
      <w:r>
        <w:rPr>
          <w:rFonts w:hint="eastAsia"/>
          <w:w w:val="90"/>
          <w:sz w:val="30"/>
          <w:szCs w:val="30"/>
        </w:rPr>
        <w:t xml:space="preserve">                           </w:t>
      </w:r>
      <w:r>
        <w:rPr>
          <w:rFonts w:hint="eastAsia"/>
          <w:w w:val="90"/>
          <w:sz w:val="30"/>
          <w:szCs w:val="30"/>
          <w:lang w:val="en-US" w:eastAsia="zh-CN"/>
        </w:rPr>
        <w:t xml:space="preserve"> </w:t>
      </w:r>
      <w:r>
        <w:rPr>
          <w:rFonts w:hint="eastAsia"/>
          <w:w w:val="90"/>
          <w:sz w:val="30"/>
          <w:szCs w:val="30"/>
        </w:rPr>
        <w:t xml:space="preserve">BG/T265 </w:t>
      </w:r>
    </w:p>
    <w:p w14:paraId="311D9CAB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</w:rPr>
      </w:pPr>
    </w:p>
    <w:p w14:paraId="0EE76C4B">
      <w:pPr>
        <w:snapToGrid w:val="0"/>
        <w:spacing w:before="312" w:beforeLines="100" w:after="312" w:afterLines="100" w:line="240" w:lineRule="atLeast"/>
        <w:ind w:firstLine="5400" w:firstLineChars="2000"/>
        <w:contextualSpacing/>
        <w:rPr>
          <w:rFonts w:hint="eastAsia"/>
          <w:w w:val="90"/>
          <w:sz w:val="30"/>
          <w:szCs w:val="30"/>
          <w:lang w:val="en-US" w:eastAsia="zh-CN"/>
        </w:rPr>
      </w:pPr>
      <w:r>
        <w:rPr>
          <w:rFonts w:hint="eastAsia"/>
          <w:w w:val="90"/>
          <w:sz w:val="30"/>
          <w:szCs w:val="30"/>
          <w:lang w:val="en-US" w:eastAsia="zh-CN"/>
        </w:rPr>
        <w:t>南京摩尔工贸有限公司</w:t>
      </w:r>
    </w:p>
    <w:p w14:paraId="7363CABE">
      <w:pPr>
        <w:snapToGrid w:val="0"/>
        <w:spacing w:before="312" w:beforeLines="100" w:after="312" w:afterLines="100" w:line="240" w:lineRule="atLeast"/>
        <w:ind w:firstLine="6750" w:firstLineChars="2500"/>
        <w:contextualSpacing/>
        <w:rPr>
          <w:rFonts w:hint="default"/>
          <w:w w:val="90"/>
          <w:sz w:val="30"/>
          <w:szCs w:val="30"/>
          <w:lang w:val="en-US" w:eastAsia="zh-CN"/>
        </w:rPr>
      </w:pPr>
      <w:r>
        <w:rPr>
          <w:rFonts w:hint="eastAsia"/>
          <w:w w:val="90"/>
          <w:sz w:val="30"/>
          <w:szCs w:val="30"/>
          <w:lang w:val="en-US" w:eastAsia="zh-CN"/>
        </w:rPr>
        <w:t>2025.9.1.</w:t>
      </w:r>
    </w:p>
    <w:p w14:paraId="64A7A779">
      <w:pPr>
        <w:snapToGrid w:val="0"/>
        <w:spacing w:before="312" w:beforeLines="100" w:after="312" w:afterLines="100" w:line="240" w:lineRule="atLeast"/>
        <w:contextualSpacing/>
        <w:rPr>
          <w:rFonts w:hint="eastAsia"/>
          <w:w w:val="90"/>
          <w:sz w:val="30"/>
          <w:szCs w:val="30"/>
        </w:rPr>
      </w:pPr>
    </w:p>
    <w:p w14:paraId="474987DD">
      <w:pPr>
        <w:snapToGrid w:val="0"/>
        <w:spacing w:before="312" w:beforeLines="100" w:after="312" w:afterLines="100" w:line="240" w:lineRule="atLeast"/>
        <w:ind w:firstLine="4860" w:firstLineChars="1800"/>
        <w:contextualSpacing/>
        <w:rPr>
          <w:rFonts w:hint="eastAsia"/>
          <w:w w:val="90"/>
          <w:sz w:val="30"/>
          <w:szCs w:val="30"/>
        </w:rPr>
      </w:pPr>
    </w:p>
    <w:p w14:paraId="0B1A89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1NDg5MWIxYTcxNDljMjY1MjU3ZmViNzFkZWEyMWQifQ=="/>
  </w:docVars>
  <w:rsids>
    <w:rsidRoot w:val="00000000"/>
    <w:rsid w:val="02270500"/>
    <w:rsid w:val="0AA6136A"/>
    <w:rsid w:val="0E0D06EB"/>
    <w:rsid w:val="13E12593"/>
    <w:rsid w:val="18EC4469"/>
    <w:rsid w:val="1EEE191E"/>
    <w:rsid w:val="27786DD2"/>
    <w:rsid w:val="2C1541D4"/>
    <w:rsid w:val="3CC37AAF"/>
    <w:rsid w:val="412E177A"/>
    <w:rsid w:val="4B5C6890"/>
    <w:rsid w:val="4FC54DEF"/>
    <w:rsid w:val="54280DF6"/>
    <w:rsid w:val="5E680DCB"/>
    <w:rsid w:val="61F05250"/>
    <w:rsid w:val="6B0B1DEB"/>
    <w:rsid w:val="6BB837AA"/>
    <w:rsid w:val="73995B25"/>
    <w:rsid w:val="78FB73FD"/>
    <w:rsid w:val="798B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485</Characters>
  <Lines>0</Lines>
  <Paragraphs>0</Paragraphs>
  <TotalTime>56</TotalTime>
  <ScaleCrop>false</ScaleCrop>
  <LinksUpToDate>false</LinksUpToDate>
  <CharactersWithSpaces>776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志云</cp:lastModifiedBy>
  <cp:lastPrinted>2024-12-25T10:35:00Z</cp:lastPrinted>
  <dcterms:modified xsi:type="dcterms:W3CDTF">2025-10-08T07:07:48Z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826F2759F560402384ECE1EB784B68DE</vt:lpwstr>
  </property>
  <property fmtid="{D5CDD505-2E9C-101B-9397-08002B2CF9AE}" pid="4" name="KSOTemplateDocerSaveRecord">
    <vt:lpwstr>eyJoZGlkIjoiNzFmMTEzZTU1NjViZjk5ZmJmODc2OWQyZjIwZGYwMjAiLCJ1c2VySWQiOiI1ODE3NjI0MzQifQ==</vt:lpwstr>
  </property>
</Properties>
</file>