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AAB89">
      <w:pPr>
        <w:jc w:val="center"/>
        <w:rPr>
          <w:rFonts w:hint="eastAsia" w:ascii="黑体" w:hAnsi="黑体" w:eastAsia="黑体" w:cs="黑体"/>
          <w:spacing w:val="40"/>
          <w:sz w:val="48"/>
          <w:szCs w:val="48"/>
        </w:rPr>
      </w:pPr>
      <w:r>
        <w:rPr>
          <w:rFonts w:hint="eastAsia" w:ascii="黑体" w:hAnsi="黑体" w:eastAsia="黑体" w:cs="黑体"/>
          <w:spacing w:val="40"/>
          <w:sz w:val="48"/>
          <w:szCs w:val="48"/>
          <w:lang w:val="en-US" w:eastAsia="zh-CN"/>
        </w:rPr>
        <w:t xml:space="preserve"> KG-3防锈油</w:t>
      </w:r>
      <w:r>
        <w:rPr>
          <w:rFonts w:hint="eastAsia" w:ascii="黑体" w:hAnsi="黑体" w:eastAsia="黑体" w:cs="黑体"/>
          <w:spacing w:val="40"/>
          <w:sz w:val="48"/>
          <w:szCs w:val="48"/>
        </w:rPr>
        <w:t>物质安全数据表（MSDS）</w:t>
      </w:r>
    </w:p>
    <w:tbl>
      <w:tblPr>
        <w:tblStyle w:val="5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538"/>
        <w:gridCol w:w="10315"/>
        <w:gridCol w:w="1089"/>
      </w:tblGrid>
      <w:tr w14:paraId="2DF8B4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3102" w:type="dxa"/>
            <w:gridSpan w:val="3"/>
            <w:noWrap w:val="0"/>
            <w:vAlign w:val="center"/>
          </w:tcPr>
          <w:p w14:paraId="3F5E090D">
            <w:pPr>
              <w:spacing w:line="2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 . 公司名称/产品名称</w:t>
            </w:r>
          </w:p>
        </w:tc>
        <w:tc>
          <w:tcPr>
            <w:tcW w:w="1089" w:type="dxa"/>
            <w:noWrap w:val="0"/>
            <w:vAlign w:val="center"/>
          </w:tcPr>
          <w:p w14:paraId="4786BDFB">
            <w:pPr>
              <w:spacing w:line="280" w:lineRule="exact"/>
              <w:rPr>
                <w:rFonts w:hint="eastAsia"/>
                <w:sz w:val="24"/>
              </w:rPr>
            </w:pPr>
          </w:p>
        </w:tc>
      </w:tr>
      <w:tr w14:paraId="0B6BD7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428DC759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公司名称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635D6B4C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南京摩尔工贸有限公司/地址：南京汤山电话：025-84179376  18651649889</w:t>
            </w:r>
          </w:p>
        </w:tc>
        <w:tc>
          <w:tcPr>
            <w:tcW w:w="1089" w:type="dxa"/>
            <w:noWrap w:val="0"/>
            <w:vAlign w:val="center"/>
          </w:tcPr>
          <w:p w14:paraId="423275CC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76216E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025EEE73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产品名称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37E82BE4">
            <w:pPr>
              <w:spacing w:line="280" w:lineRule="exac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 xml:space="preserve">防锈油 </w:t>
            </w:r>
            <w:r>
              <w:rPr>
                <w:rFonts w:hint="eastAsia"/>
                <w:szCs w:val="21"/>
                <w:lang w:val="en-US" w:eastAsia="zh-CN"/>
              </w:rPr>
              <w:t>KG-3</w:t>
            </w:r>
          </w:p>
          <w:p w14:paraId="5541C4FA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型 防锈油</w:t>
            </w:r>
          </w:p>
        </w:tc>
        <w:tc>
          <w:tcPr>
            <w:tcW w:w="1089" w:type="dxa"/>
            <w:noWrap w:val="0"/>
            <w:vAlign w:val="center"/>
          </w:tcPr>
          <w:p w14:paraId="6565C941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43A8A8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3102" w:type="dxa"/>
            <w:gridSpan w:val="3"/>
            <w:noWrap w:val="0"/>
            <w:vAlign w:val="center"/>
          </w:tcPr>
          <w:p w14:paraId="5F7BEBD7">
            <w:pPr>
              <w:spacing w:line="2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 . 危险程度分类</w:t>
            </w:r>
          </w:p>
        </w:tc>
        <w:tc>
          <w:tcPr>
            <w:tcW w:w="1089" w:type="dxa"/>
            <w:noWrap w:val="0"/>
            <w:vAlign w:val="center"/>
          </w:tcPr>
          <w:p w14:paraId="391076B8">
            <w:pPr>
              <w:spacing w:line="280" w:lineRule="exact"/>
              <w:rPr>
                <w:rFonts w:hint="eastAsia"/>
                <w:sz w:val="24"/>
              </w:rPr>
            </w:pPr>
          </w:p>
        </w:tc>
      </w:tr>
      <w:tr w14:paraId="4A540B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49" w:type="dxa"/>
            <w:noWrap w:val="0"/>
            <w:vAlign w:val="center"/>
          </w:tcPr>
          <w:p w14:paraId="0BEEE804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危险程度类别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770CCAE3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本品为</w:t>
            </w:r>
            <w:r>
              <w:rPr>
                <w:rFonts w:hint="eastAsia"/>
                <w:szCs w:val="21"/>
                <w:lang w:eastAsia="zh-CN"/>
              </w:rPr>
              <w:t>非</w:t>
            </w:r>
            <w:r>
              <w:rPr>
                <w:rFonts w:hint="eastAsia"/>
                <w:szCs w:val="21"/>
              </w:rPr>
              <w:t>易燃易爆品</w:t>
            </w:r>
          </w:p>
          <w:p w14:paraId="5569CF4C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对人体无毒无害，对环境无污染</w:t>
            </w:r>
          </w:p>
        </w:tc>
        <w:tc>
          <w:tcPr>
            <w:tcW w:w="1089" w:type="dxa"/>
            <w:noWrap w:val="0"/>
            <w:vAlign w:val="center"/>
          </w:tcPr>
          <w:p w14:paraId="3C9BBA20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331C1F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3102" w:type="dxa"/>
            <w:gridSpan w:val="3"/>
            <w:noWrap w:val="0"/>
            <w:vAlign w:val="center"/>
          </w:tcPr>
          <w:p w14:paraId="09564A4C">
            <w:pPr>
              <w:spacing w:line="2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 . 产品组成</w:t>
            </w:r>
          </w:p>
        </w:tc>
        <w:tc>
          <w:tcPr>
            <w:tcW w:w="1089" w:type="dxa"/>
            <w:noWrap w:val="0"/>
            <w:vAlign w:val="center"/>
          </w:tcPr>
          <w:p w14:paraId="1457374F">
            <w:pPr>
              <w:spacing w:line="280" w:lineRule="exact"/>
              <w:rPr>
                <w:rFonts w:hint="eastAsia"/>
                <w:sz w:val="24"/>
              </w:rPr>
            </w:pPr>
          </w:p>
        </w:tc>
      </w:tr>
      <w:tr w14:paraId="5F9D36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11C0C71C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产品主要含量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4751ACBE">
            <w:pPr>
              <w:spacing w:line="280" w:lineRule="exac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石油磺酸钡（CAS 70984-10-0）15%，机油（CAS 64742-54-7）40%，溶剂油（CAS </w:t>
            </w:r>
            <w:bookmarkStart w:id="0" w:name="_GoBack"/>
            <w:bookmarkEnd w:id="0"/>
            <w:r>
              <w:rPr>
                <w:rFonts w:hint="eastAsia"/>
                <w:szCs w:val="21"/>
                <w:lang w:val="en-US" w:eastAsia="zh-CN"/>
              </w:rPr>
              <w:t>64742-48-9）35%,其他6%</w:t>
            </w:r>
          </w:p>
        </w:tc>
        <w:tc>
          <w:tcPr>
            <w:tcW w:w="1089" w:type="dxa"/>
            <w:noWrap w:val="0"/>
            <w:vAlign w:val="center"/>
          </w:tcPr>
          <w:p w14:paraId="1AE35E7F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53856C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3102" w:type="dxa"/>
            <w:gridSpan w:val="3"/>
            <w:noWrap w:val="0"/>
            <w:vAlign w:val="center"/>
          </w:tcPr>
          <w:p w14:paraId="4AFE3529">
            <w:pPr>
              <w:spacing w:line="2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 . 急救措施</w:t>
            </w:r>
          </w:p>
        </w:tc>
        <w:tc>
          <w:tcPr>
            <w:tcW w:w="1089" w:type="dxa"/>
            <w:noWrap w:val="0"/>
            <w:vAlign w:val="center"/>
          </w:tcPr>
          <w:p w14:paraId="440354D8">
            <w:pPr>
              <w:spacing w:line="280" w:lineRule="exact"/>
              <w:rPr>
                <w:rFonts w:hint="eastAsia"/>
                <w:sz w:val="24"/>
              </w:rPr>
            </w:pPr>
          </w:p>
        </w:tc>
      </w:tr>
      <w:tr w14:paraId="7F1558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38C7BA7C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吸入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3A0F4261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如吸入后有不良感觉时，请立即到空气清新的地方深呼吸</w:t>
            </w:r>
          </w:p>
        </w:tc>
        <w:tc>
          <w:tcPr>
            <w:tcW w:w="1089" w:type="dxa"/>
            <w:noWrap w:val="0"/>
            <w:vAlign w:val="center"/>
          </w:tcPr>
          <w:p w14:paraId="43F5B767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7EB737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2B424FE7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皮肤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5CA5029B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如发现发肤有过敏现象请用肥皂洗去。</w:t>
            </w:r>
            <w:r>
              <w:rPr>
                <w:rFonts w:hint="eastAsia"/>
                <w:szCs w:val="21"/>
                <w:lang w:eastAsia="zh-CN"/>
              </w:rPr>
              <w:t>请戴耐油手套、</w:t>
            </w:r>
            <w:r>
              <w:rPr>
                <w:rFonts w:hint="eastAsia"/>
                <w:szCs w:val="21"/>
              </w:rPr>
              <w:t>口罩操作</w:t>
            </w:r>
          </w:p>
        </w:tc>
        <w:tc>
          <w:tcPr>
            <w:tcW w:w="1089" w:type="dxa"/>
            <w:noWrap w:val="0"/>
            <w:vAlign w:val="center"/>
          </w:tcPr>
          <w:p w14:paraId="732F3100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2443D0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5DCAA44A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眼睛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50CCD950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如溅入眼睛请用大量清水冲洗，对眼无伤害</w:t>
            </w:r>
          </w:p>
        </w:tc>
        <w:tc>
          <w:tcPr>
            <w:tcW w:w="1089" w:type="dxa"/>
            <w:noWrap w:val="0"/>
            <w:vAlign w:val="center"/>
          </w:tcPr>
          <w:p w14:paraId="227BB79C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42366C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3102" w:type="dxa"/>
            <w:gridSpan w:val="3"/>
            <w:noWrap w:val="0"/>
            <w:vAlign w:val="center"/>
          </w:tcPr>
          <w:p w14:paraId="48620761">
            <w:pPr>
              <w:spacing w:line="2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 . 消防措施</w:t>
            </w:r>
          </w:p>
        </w:tc>
        <w:tc>
          <w:tcPr>
            <w:tcW w:w="1089" w:type="dxa"/>
            <w:noWrap w:val="0"/>
            <w:vAlign w:val="center"/>
          </w:tcPr>
          <w:p w14:paraId="58512D17">
            <w:pPr>
              <w:spacing w:line="280" w:lineRule="exact"/>
              <w:rPr>
                <w:rFonts w:hint="eastAsia"/>
                <w:sz w:val="24"/>
              </w:rPr>
            </w:pPr>
          </w:p>
        </w:tc>
      </w:tr>
      <w:tr w14:paraId="794022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6E1BC0A1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适用灭火器材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2262D200">
            <w:pPr>
              <w:spacing w:line="280" w:lineRule="exact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泡沫灭火器、干粉灭火器</w:t>
            </w:r>
          </w:p>
        </w:tc>
        <w:tc>
          <w:tcPr>
            <w:tcW w:w="1089" w:type="dxa"/>
            <w:noWrap w:val="0"/>
            <w:vAlign w:val="center"/>
          </w:tcPr>
          <w:p w14:paraId="168108C2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13163A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1A081EA4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产品燃烧产生的危险物质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1439FBDF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无</w:t>
            </w:r>
          </w:p>
        </w:tc>
        <w:tc>
          <w:tcPr>
            <w:tcW w:w="1089" w:type="dxa"/>
            <w:noWrap w:val="0"/>
            <w:vAlign w:val="center"/>
          </w:tcPr>
          <w:p w14:paraId="68AE8696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2BA96E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39DDFADB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特殊危险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4B9AAC62">
            <w:pPr>
              <w:spacing w:line="280" w:lineRule="exact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无</w:t>
            </w:r>
          </w:p>
        </w:tc>
        <w:tc>
          <w:tcPr>
            <w:tcW w:w="1089" w:type="dxa"/>
            <w:noWrap w:val="0"/>
            <w:vAlign w:val="center"/>
          </w:tcPr>
          <w:p w14:paraId="737CF506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0A6401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51610EC8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灭火注意事项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309DA8C2">
            <w:pPr>
              <w:spacing w:line="280" w:lineRule="exact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不能用水灭火</w:t>
            </w:r>
          </w:p>
        </w:tc>
        <w:tc>
          <w:tcPr>
            <w:tcW w:w="1089" w:type="dxa"/>
            <w:noWrap w:val="0"/>
            <w:vAlign w:val="center"/>
          </w:tcPr>
          <w:p w14:paraId="3231B2BC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614BCB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3102" w:type="dxa"/>
            <w:gridSpan w:val="3"/>
            <w:noWrap w:val="0"/>
            <w:vAlign w:val="center"/>
          </w:tcPr>
          <w:p w14:paraId="2ED0CD27">
            <w:pPr>
              <w:spacing w:line="2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6 . 产品泄漏防护措施</w:t>
            </w:r>
          </w:p>
        </w:tc>
        <w:tc>
          <w:tcPr>
            <w:tcW w:w="1089" w:type="dxa"/>
            <w:noWrap w:val="0"/>
            <w:vAlign w:val="center"/>
          </w:tcPr>
          <w:p w14:paraId="753B416D">
            <w:pPr>
              <w:spacing w:line="280" w:lineRule="exact"/>
              <w:rPr>
                <w:rFonts w:hint="eastAsia"/>
                <w:sz w:val="24"/>
              </w:rPr>
            </w:pPr>
          </w:p>
        </w:tc>
      </w:tr>
      <w:tr w14:paraId="7DA6D0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47CD92D0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紧急步骤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21E99851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首先迅速找出泄漏源，然后</w:t>
            </w:r>
            <w:r>
              <w:rPr>
                <w:rFonts w:hint="eastAsia"/>
                <w:szCs w:val="21"/>
                <w:lang w:eastAsia="zh-CN"/>
              </w:rPr>
              <w:t>堵漏或移</w:t>
            </w:r>
            <w:r>
              <w:rPr>
                <w:rFonts w:hint="eastAsia"/>
                <w:szCs w:val="21"/>
              </w:rPr>
              <w:t>出，远离仓库处理，并通风</w:t>
            </w:r>
            <w:r>
              <w:rPr>
                <w:rFonts w:hint="eastAsia"/>
                <w:szCs w:val="21"/>
                <w:lang w:eastAsia="zh-CN"/>
              </w:rPr>
              <w:t>。</w:t>
            </w:r>
            <w:r>
              <w:rPr>
                <w:rFonts w:hint="eastAsia"/>
                <w:szCs w:val="21"/>
              </w:rPr>
              <w:t>驱走易燃气体</w:t>
            </w:r>
          </w:p>
        </w:tc>
        <w:tc>
          <w:tcPr>
            <w:tcW w:w="1089" w:type="dxa"/>
            <w:noWrap w:val="0"/>
            <w:vAlign w:val="center"/>
          </w:tcPr>
          <w:p w14:paraId="4CC23D28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0633AA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3102" w:type="dxa"/>
            <w:gridSpan w:val="3"/>
            <w:noWrap w:val="0"/>
            <w:vAlign w:val="center"/>
          </w:tcPr>
          <w:p w14:paraId="32E22B92">
            <w:pPr>
              <w:spacing w:line="2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7 . 产品储存</w:t>
            </w:r>
          </w:p>
        </w:tc>
        <w:tc>
          <w:tcPr>
            <w:tcW w:w="1089" w:type="dxa"/>
            <w:noWrap w:val="0"/>
            <w:vAlign w:val="center"/>
          </w:tcPr>
          <w:p w14:paraId="2AF54C89">
            <w:pPr>
              <w:spacing w:line="280" w:lineRule="exact"/>
              <w:rPr>
                <w:rFonts w:hint="eastAsia"/>
                <w:sz w:val="24"/>
              </w:rPr>
            </w:pPr>
          </w:p>
        </w:tc>
      </w:tr>
      <w:tr w14:paraId="56EF5F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1AD793BE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防备措施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00B56572">
            <w:pPr>
              <w:spacing w:line="280" w:lineRule="exact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备存灭火设备</w:t>
            </w:r>
          </w:p>
        </w:tc>
        <w:tc>
          <w:tcPr>
            <w:tcW w:w="1089" w:type="dxa"/>
            <w:noWrap w:val="0"/>
            <w:vAlign w:val="center"/>
          </w:tcPr>
          <w:p w14:paraId="54C07828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5A3685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08A302FF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储存条件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1131922D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在</w:t>
            </w:r>
            <w:r>
              <w:rPr>
                <w:rFonts w:hint="eastAsia"/>
                <w:szCs w:val="21"/>
                <w:lang w:val="en-US" w:eastAsia="zh-CN"/>
              </w:rPr>
              <w:t>60</w:t>
            </w:r>
            <w:r>
              <w:rPr>
                <w:rFonts w:hint="eastAsia"/>
                <w:szCs w:val="21"/>
              </w:rPr>
              <w:t>℃以下及阴暗环境下储存</w:t>
            </w:r>
          </w:p>
        </w:tc>
        <w:tc>
          <w:tcPr>
            <w:tcW w:w="1089" w:type="dxa"/>
            <w:noWrap w:val="0"/>
            <w:vAlign w:val="center"/>
          </w:tcPr>
          <w:p w14:paraId="5FEE5384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54912D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3102" w:type="dxa"/>
            <w:gridSpan w:val="3"/>
            <w:noWrap w:val="0"/>
            <w:vAlign w:val="center"/>
          </w:tcPr>
          <w:p w14:paraId="3A681D2C">
            <w:pPr>
              <w:spacing w:line="2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8 . 曝光控制/个人保护</w:t>
            </w:r>
          </w:p>
        </w:tc>
        <w:tc>
          <w:tcPr>
            <w:tcW w:w="1089" w:type="dxa"/>
            <w:noWrap w:val="0"/>
            <w:vAlign w:val="center"/>
          </w:tcPr>
          <w:p w14:paraId="146F2D16">
            <w:pPr>
              <w:spacing w:line="280" w:lineRule="exact"/>
              <w:rPr>
                <w:rFonts w:hint="eastAsia"/>
                <w:sz w:val="24"/>
              </w:rPr>
            </w:pPr>
          </w:p>
        </w:tc>
      </w:tr>
      <w:tr w14:paraId="37352E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3B93E811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全国曝光标准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0EC11090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暂无</w:t>
            </w:r>
          </w:p>
        </w:tc>
        <w:tc>
          <w:tcPr>
            <w:tcW w:w="1089" w:type="dxa"/>
            <w:noWrap w:val="0"/>
            <w:vAlign w:val="center"/>
          </w:tcPr>
          <w:p w14:paraId="2C57F665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183AF6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70762F50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生物极限值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6092B477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无</w:t>
            </w:r>
          </w:p>
        </w:tc>
        <w:tc>
          <w:tcPr>
            <w:tcW w:w="1089" w:type="dxa"/>
            <w:noWrap w:val="0"/>
            <w:vAlign w:val="center"/>
          </w:tcPr>
          <w:p w14:paraId="6215CAE7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7F16C7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26A149DE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其他曝光信息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34A35CF4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无</w:t>
            </w:r>
          </w:p>
        </w:tc>
        <w:tc>
          <w:tcPr>
            <w:tcW w:w="1089" w:type="dxa"/>
            <w:noWrap w:val="0"/>
            <w:vAlign w:val="center"/>
          </w:tcPr>
          <w:p w14:paraId="72975F90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37DD19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61A195B5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工程学控制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216321AC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在空气流通条件下使用</w:t>
            </w:r>
          </w:p>
        </w:tc>
        <w:tc>
          <w:tcPr>
            <w:tcW w:w="1089" w:type="dxa"/>
            <w:noWrap w:val="0"/>
            <w:vAlign w:val="center"/>
          </w:tcPr>
          <w:p w14:paraId="31B1D30E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71E720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7D92007C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呼吸保护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29898736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保持操作间的空气流通</w:t>
            </w:r>
          </w:p>
        </w:tc>
        <w:tc>
          <w:tcPr>
            <w:tcW w:w="1089" w:type="dxa"/>
            <w:noWrap w:val="0"/>
            <w:vAlign w:val="center"/>
          </w:tcPr>
          <w:p w14:paraId="0CFF2E67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085F64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69C57813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眼睛保护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248DD467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工件轻拿轻放，以防油品溅眼内</w:t>
            </w:r>
          </w:p>
        </w:tc>
        <w:tc>
          <w:tcPr>
            <w:tcW w:w="1089" w:type="dxa"/>
            <w:noWrap w:val="0"/>
            <w:vAlign w:val="center"/>
          </w:tcPr>
          <w:p w14:paraId="1B00F61C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64B60E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375E2B38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手保护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644EEE76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如有过敏现象，请戴防护手套操作</w:t>
            </w:r>
          </w:p>
        </w:tc>
        <w:tc>
          <w:tcPr>
            <w:tcW w:w="1089" w:type="dxa"/>
            <w:noWrap w:val="0"/>
            <w:vAlign w:val="center"/>
          </w:tcPr>
          <w:p w14:paraId="2F1D3CD8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213FBD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249" w:type="dxa"/>
            <w:noWrap w:val="0"/>
            <w:vAlign w:val="center"/>
          </w:tcPr>
          <w:p w14:paraId="281128AA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身体保护</w:t>
            </w:r>
          </w:p>
        </w:tc>
        <w:tc>
          <w:tcPr>
            <w:tcW w:w="10853" w:type="dxa"/>
            <w:gridSpan w:val="2"/>
            <w:noWrap w:val="0"/>
            <w:vAlign w:val="center"/>
          </w:tcPr>
          <w:p w14:paraId="6486791F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请穿戴好防护工作服</w:t>
            </w:r>
          </w:p>
        </w:tc>
        <w:tc>
          <w:tcPr>
            <w:tcW w:w="1089" w:type="dxa"/>
            <w:noWrap w:val="0"/>
            <w:vAlign w:val="center"/>
          </w:tcPr>
          <w:p w14:paraId="424C9E64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697016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3102" w:type="dxa"/>
            <w:gridSpan w:val="3"/>
            <w:noWrap w:val="0"/>
            <w:vAlign w:val="center"/>
          </w:tcPr>
          <w:p w14:paraId="2A0E82E3">
            <w:pPr>
              <w:spacing w:line="2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9 . 物理和化学数据</w:t>
            </w:r>
          </w:p>
        </w:tc>
        <w:tc>
          <w:tcPr>
            <w:tcW w:w="1089" w:type="dxa"/>
            <w:noWrap w:val="0"/>
            <w:vAlign w:val="center"/>
          </w:tcPr>
          <w:p w14:paraId="75D6D60A">
            <w:pPr>
              <w:spacing w:line="280" w:lineRule="exact"/>
              <w:rPr>
                <w:rFonts w:hint="eastAsia"/>
                <w:sz w:val="24"/>
              </w:rPr>
            </w:pPr>
          </w:p>
        </w:tc>
      </w:tr>
      <w:tr w14:paraId="5163D2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23943EC8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外观</w:t>
            </w:r>
          </w:p>
        </w:tc>
        <w:tc>
          <w:tcPr>
            <w:tcW w:w="10315" w:type="dxa"/>
            <w:noWrap w:val="0"/>
            <w:vAlign w:val="center"/>
          </w:tcPr>
          <w:p w14:paraId="476AA2B9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微黄</w:t>
            </w:r>
            <w:r>
              <w:rPr>
                <w:rFonts w:hint="eastAsia"/>
                <w:szCs w:val="21"/>
              </w:rPr>
              <w:t>色液体</w:t>
            </w:r>
          </w:p>
        </w:tc>
        <w:tc>
          <w:tcPr>
            <w:tcW w:w="1089" w:type="dxa"/>
            <w:noWrap w:val="0"/>
            <w:vAlign w:val="center"/>
          </w:tcPr>
          <w:p w14:paraId="06F3DBE4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627437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4E2DEB09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气味</w:t>
            </w:r>
          </w:p>
        </w:tc>
        <w:tc>
          <w:tcPr>
            <w:tcW w:w="10315" w:type="dxa"/>
            <w:noWrap w:val="0"/>
            <w:vAlign w:val="center"/>
          </w:tcPr>
          <w:p w14:paraId="08FBCCA2">
            <w:pPr>
              <w:spacing w:line="280" w:lineRule="exact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低味</w:t>
            </w:r>
          </w:p>
        </w:tc>
        <w:tc>
          <w:tcPr>
            <w:tcW w:w="1089" w:type="dxa"/>
            <w:noWrap w:val="0"/>
            <w:vAlign w:val="center"/>
          </w:tcPr>
          <w:p w14:paraId="5203327B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7A5A58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78AE7AFE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熔点</w:t>
            </w:r>
          </w:p>
        </w:tc>
        <w:tc>
          <w:tcPr>
            <w:tcW w:w="10315" w:type="dxa"/>
            <w:noWrap w:val="0"/>
            <w:vAlign w:val="center"/>
          </w:tcPr>
          <w:p w14:paraId="10B23CF2">
            <w:pPr>
              <w:spacing w:line="280" w:lineRule="exac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-60 </w:t>
            </w:r>
            <w:r>
              <w:rPr>
                <w:rFonts w:hint="eastAsia" w:ascii="宋体" w:hAnsi="宋体"/>
                <w:szCs w:val="21"/>
              </w:rPr>
              <w:t>℃</w:t>
            </w:r>
          </w:p>
        </w:tc>
        <w:tc>
          <w:tcPr>
            <w:tcW w:w="1089" w:type="dxa"/>
            <w:noWrap w:val="0"/>
            <w:vAlign w:val="center"/>
          </w:tcPr>
          <w:p w14:paraId="51913EE2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0D44F2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6023CC28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沸点</w:t>
            </w:r>
          </w:p>
        </w:tc>
        <w:tc>
          <w:tcPr>
            <w:tcW w:w="10315" w:type="dxa"/>
            <w:noWrap w:val="0"/>
            <w:vAlign w:val="center"/>
          </w:tcPr>
          <w:p w14:paraId="4E3E83B4">
            <w:pPr>
              <w:spacing w:line="280" w:lineRule="exac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190-210</w:t>
            </w:r>
            <w:r>
              <w:rPr>
                <w:rFonts w:hint="eastAsia" w:ascii="宋体" w:hAnsi="宋体"/>
                <w:szCs w:val="21"/>
              </w:rPr>
              <w:t>℃</w:t>
            </w:r>
          </w:p>
        </w:tc>
        <w:tc>
          <w:tcPr>
            <w:tcW w:w="1089" w:type="dxa"/>
            <w:noWrap w:val="0"/>
            <w:vAlign w:val="center"/>
          </w:tcPr>
          <w:p w14:paraId="7953E179">
            <w:pPr>
              <w:spacing w:line="280" w:lineRule="exact"/>
              <w:rPr>
                <w:rFonts w:hint="eastAsia" w:ascii="宋体" w:hAnsi="宋体"/>
                <w:szCs w:val="21"/>
              </w:rPr>
            </w:pPr>
          </w:p>
        </w:tc>
      </w:tr>
      <w:tr w14:paraId="10C003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1E4B7DB4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水溶性</w:t>
            </w:r>
          </w:p>
        </w:tc>
        <w:tc>
          <w:tcPr>
            <w:tcW w:w="10315" w:type="dxa"/>
            <w:noWrap w:val="0"/>
            <w:vAlign w:val="center"/>
          </w:tcPr>
          <w:p w14:paraId="65A8435B">
            <w:pPr>
              <w:spacing w:line="280" w:lineRule="exact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不溶</w:t>
            </w:r>
          </w:p>
        </w:tc>
        <w:tc>
          <w:tcPr>
            <w:tcW w:w="1089" w:type="dxa"/>
            <w:noWrap w:val="0"/>
            <w:vAlign w:val="center"/>
          </w:tcPr>
          <w:p w14:paraId="68D53419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71E077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664F915E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比重</w:t>
            </w:r>
          </w:p>
        </w:tc>
        <w:tc>
          <w:tcPr>
            <w:tcW w:w="10315" w:type="dxa"/>
            <w:noWrap w:val="0"/>
            <w:vAlign w:val="center"/>
          </w:tcPr>
          <w:p w14:paraId="3A5C64C9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0.80</w:t>
            </w:r>
            <w:r>
              <w:rPr>
                <w:rFonts w:hint="eastAsia" w:ascii="宋体" w:hAnsi="宋体"/>
                <w:szCs w:val="21"/>
              </w:rPr>
              <w:t>±0.01</w:t>
            </w:r>
          </w:p>
        </w:tc>
        <w:tc>
          <w:tcPr>
            <w:tcW w:w="1089" w:type="dxa"/>
            <w:noWrap w:val="0"/>
            <w:vAlign w:val="center"/>
          </w:tcPr>
          <w:p w14:paraId="1D532452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249390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262AA39F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酸碱值</w:t>
            </w:r>
          </w:p>
        </w:tc>
        <w:tc>
          <w:tcPr>
            <w:tcW w:w="10315" w:type="dxa"/>
            <w:noWrap w:val="0"/>
            <w:vAlign w:val="center"/>
          </w:tcPr>
          <w:p w14:paraId="67ECA37C">
            <w:pPr>
              <w:spacing w:line="280" w:lineRule="exact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无酸碱</w:t>
            </w:r>
            <w:r>
              <w:rPr>
                <w:rFonts w:hint="eastAsia"/>
                <w:szCs w:val="21"/>
                <w:lang w:eastAsia="zh-CN"/>
              </w:rPr>
              <w:t>性</w:t>
            </w:r>
          </w:p>
        </w:tc>
        <w:tc>
          <w:tcPr>
            <w:tcW w:w="1089" w:type="dxa"/>
            <w:noWrap w:val="0"/>
            <w:vAlign w:val="center"/>
          </w:tcPr>
          <w:p w14:paraId="77370C23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2BDB24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17CC8875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运动粘度（40 C)</w:t>
            </w:r>
          </w:p>
        </w:tc>
        <w:tc>
          <w:tcPr>
            <w:tcW w:w="10315" w:type="dxa"/>
            <w:noWrap w:val="0"/>
            <w:vAlign w:val="center"/>
          </w:tcPr>
          <w:p w14:paraId="6CB5116A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.</w:t>
            </w:r>
            <w:r>
              <w:rPr>
                <w:rFonts w:hint="eastAsia"/>
                <w:szCs w:val="21"/>
                <w:lang w:val="en-US" w:eastAsia="zh-CN"/>
              </w:rPr>
              <w:t xml:space="preserve">2.8-5.5  </w:t>
            </w:r>
            <w:r>
              <w:rPr>
                <w:rFonts w:hint="eastAsia"/>
                <w:szCs w:val="21"/>
              </w:rPr>
              <w:t>mm / s</w:t>
            </w:r>
          </w:p>
        </w:tc>
        <w:tc>
          <w:tcPr>
            <w:tcW w:w="1089" w:type="dxa"/>
            <w:noWrap w:val="0"/>
            <w:vAlign w:val="center"/>
          </w:tcPr>
          <w:p w14:paraId="2C6C666B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257E2D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486AAF24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水汽密度</w:t>
            </w:r>
          </w:p>
        </w:tc>
        <w:tc>
          <w:tcPr>
            <w:tcW w:w="10315" w:type="dxa"/>
            <w:noWrap w:val="0"/>
            <w:vAlign w:val="center"/>
          </w:tcPr>
          <w:p w14:paraId="26BFD3B1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无</w:t>
            </w:r>
          </w:p>
        </w:tc>
        <w:tc>
          <w:tcPr>
            <w:tcW w:w="1089" w:type="dxa"/>
            <w:noWrap w:val="0"/>
            <w:vAlign w:val="center"/>
          </w:tcPr>
          <w:p w14:paraId="5631AE19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45D007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1913D4A6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相对空气密度之比</w:t>
            </w:r>
          </w:p>
        </w:tc>
        <w:tc>
          <w:tcPr>
            <w:tcW w:w="10315" w:type="dxa"/>
            <w:noWrap w:val="0"/>
            <w:vAlign w:val="center"/>
          </w:tcPr>
          <w:p w14:paraId="4B6A73B4">
            <w:pPr>
              <w:spacing w:line="280" w:lineRule="exac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无数据</w:t>
            </w:r>
          </w:p>
        </w:tc>
        <w:tc>
          <w:tcPr>
            <w:tcW w:w="1089" w:type="dxa"/>
            <w:noWrap w:val="0"/>
            <w:vAlign w:val="center"/>
          </w:tcPr>
          <w:p w14:paraId="6658A891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427266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2DBAA5AB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闪点</w:t>
            </w:r>
          </w:p>
        </w:tc>
        <w:tc>
          <w:tcPr>
            <w:tcW w:w="10315" w:type="dxa"/>
            <w:noWrap w:val="0"/>
            <w:vAlign w:val="center"/>
          </w:tcPr>
          <w:p w14:paraId="45474D03">
            <w:pPr>
              <w:spacing w:line="280" w:lineRule="exac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64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℃</w:t>
            </w:r>
          </w:p>
        </w:tc>
        <w:tc>
          <w:tcPr>
            <w:tcW w:w="1089" w:type="dxa"/>
            <w:noWrap w:val="0"/>
            <w:vAlign w:val="center"/>
          </w:tcPr>
          <w:p w14:paraId="74B027FD">
            <w:pPr>
              <w:spacing w:line="280" w:lineRule="exact"/>
              <w:rPr>
                <w:rFonts w:hint="eastAsia" w:ascii="宋体" w:hAnsi="宋体"/>
                <w:szCs w:val="21"/>
              </w:rPr>
            </w:pPr>
          </w:p>
        </w:tc>
      </w:tr>
      <w:tr w14:paraId="454D99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7ADF4BBC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自燃温度</w:t>
            </w:r>
          </w:p>
        </w:tc>
        <w:tc>
          <w:tcPr>
            <w:tcW w:w="10315" w:type="dxa"/>
            <w:noWrap w:val="0"/>
            <w:vAlign w:val="center"/>
          </w:tcPr>
          <w:p w14:paraId="771A2491">
            <w:pPr>
              <w:spacing w:line="280" w:lineRule="exac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415-530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℃</w:t>
            </w:r>
          </w:p>
        </w:tc>
        <w:tc>
          <w:tcPr>
            <w:tcW w:w="1089" w:type="dxa"/>
            <w:noWrap w:val="0"/>
            <w:vAlign w:val="center"/>
          </w:tcPr>
          <w:p w14:paraId="2D03675B">
            <w:pPr>
              <w:spacing w:line="280" w:lineRule="exact"/>
              <w:rPr>
                <w:rFonts w:hint="eastAsia" w:ascii="宋体" w:hAnsi="宋体"/>
                <w:szCs w:val="21"/>
              </w:rPr>
            </w:pPr>
          </w:p>
        </w:tc>
      </w:tr>
      <w:tr w14:paraId="7BF2E8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3102" w:type="dxa"/>
            <w:gridSpan w:val="3"/>
            <w:noWrap w:val="0"/>
            <w:vAlign w:val="center"/>
          </w:tcPr>
          <w:p w14:paraId="55C17060">
            <w:pPr>
              <w:spacing w:line="2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10 . 产品的稳定性</w:t>
            </w:r>
          </w:p>
        </w:tc>
        <w:tc>
          <w:tcPr>
            <w:tcW w:w="1089" w:type="dxa"/>
            <w:noWrap w:val="0"/>
            <w:vAlign w:val="center"/>
          </w:tcPr>
          <w:p w14:paraId="1AE6C2C0">
            <w:pPr>
              <w:spacing w:line="280" w:lineRule="exact"/>
              <w:rPr>
                <w:rFonts w:hint="eastAsia"/>
                <w:sz w:val="24"/>
              </w:rPr>
            </w:pPr>
          </w:p>
        </w:tc>
      </w:tr>
      <w:tr w14:paraId="063723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19811B49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化学稳定性</w:t>
            </w:r>
          </w:p>
        </w:tc>
        <w:tc>
          <w:tcPr>
            <w:tcW w:w="10315" w:type="dxa"/>
            <w:noWrap w:val="0"/>
            <w:vAlign w:val="center"/>
          </w:tcPr>
          <w:p w14:paraId="6806840F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很稳定</w:t>
            </w:r>
          </w:p>
        </w:tc>
        <w:tc>
          <w:tcPr>
            <w:tcW w:w="1089" w:type="dxa"/>
            <w:noWrap w:val="0"/>
            <w:vAlign w:val="center"/>
          </w:tcPr>
          <w:p w14:paraId="232D3BE0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2F9BE8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48BBA1F7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取用工具</w:t>
            </w:r>
          </w:p>
        </w:tc>
        <w:tc>
          <w:tcPr>
            <w:tcW w:w="10315" w:type="dxa"/>
            <w:noWrap w:val="0"/>
            <w:vAlign w:val="center"/>
          </w:tcPr>
          <w:p w14:paraId="7BEB6F64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用</w:t>
            </w:r>
            <w:r>
              <w:rPr>
                <w:rFonts w:hint="eastAsia"/>
                <w:szCs w:val="21"/>
                <w:lang w:eastAsia="zh-CN"/>
              </w:rPr>
              <w:t>普通</w:t>
            </w:r>
            <w:r>
              <w:rPr>
                <w:rFonts w:hint="eastAsia"/>
                <w:szCs w:val="21"/>
              </w:rPr>
              <w:t>油泵抽取</w:t>
            </w:r>
          </w:p>
        </w:tc>
        <w:tc>
          <w:tcPr>
            <w:tcW w:w="1089" w:type="dxa"/>
            <w:noWrap w:val="0"/>
            <w:vAlign w:val="center"/>
          </w:tcPr>
          <w:p w14:paraId="4A44B313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760B43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46FBD0A5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聚合危险性</w:t>
            </w:r>
          </w:p>
        </w:tc>
        <w:tc>
          <w:tcPr>
            <w:tcW w:w="10315" w:type="dxa"/>
            <w:noWrap w:val="0"/>
            <w:vAlign w:val="center"/>
          </w:tcPr>
          <w:p w14:paraId="18B97CBF"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无</w:t>
            </w:r>
          </w:p>
        </w:tc>
        <w:tc>
          <w:tcPr>
            <w:tcW w:w="1089" w:type="dxa"/>
            <w:noWrap w:val="0"/>
            <w:vAlign w:val="center"/>
          </w:tcPr>
          <w:p w14:paraId="0FC576EF">
            <w:pPr>
              <w:spacing w:line="280" w:lineRule="exact"/>
              <w:rPr>
                <w:rFonts w:hint="eastAsia"/>
                <w:szCs w:val="21"/>
              </w:rPr>
            </w:pPr>
          </w:p>
        </w:tc>
      </w:tr>
      <w:tr w14:paraId="03235E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61550ACA">
            <w:pPr>
              <w:spacing w:line="2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11 . 毒性数据</w:t>
            </w:r>
          </w:p>
        </w:tc>
        <w:tc>
          <w:tcPr>
            <w:tcW w:w="10315" w:type="dxa"/>
            <w:noWrap w:val="0"/>
            <w:vAlign w:val="center"/>
          </w:tcPr>
          <w:p w14:paraId="27C8053B">
            <w:pPr>
              <w:spacing w:line="280" w:lineRule="exac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无毒性</w:t>
            </w:r>
          </w:p>
        </w:tc>
        <w:tc>
          <w:tcPr>
            <w:tcW w:w="1089" w:type="dxa"/>
            <w:noWrap w:val="0"/>
            <w:vAlign w:val="center"/>
          </w:tcPr>
          <w:p w14:paraId="1BD0E508">
            <w:pPr>
              <w:spacing w:line="280" w:lineRule="exact"/>
              <w:rPr>
                <w:rFonts w:hint="eastAsia"/>
                <w:sz w:val="24"/>
              </w:rPr>
            </w:pPr>
          </w:p>
        </w:tc>
      </w:tr>
      <w:tr w14:paraId="70EA29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059DC227">
            <w:pPr>
              <w:spacing w:line="2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12 . 生态学数据</w:t>
            </w:r>
          </w:p>
        </w:tc>
        <w:tc>
          <w:tcPr>
            <w:tcW w:w="10315" w:type="dxa"/>
            <w:noWrap w:val="0"/>
            <w:vAlign w:val="center"/>
          </w:tcPr>
          <w:p w14:paraId="2CE23A92">
            <w:pPr>
              <w:spacing w:line="28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对环境无污染</w:t>
            </w:r>
          </w:p>
        </w:tc>
        <w:tc>
          <w:tcPr>
            <w:tcW w:w="1089" w:type="dxa"/>
            <w:noWrap w:val="0"/>
            <w:vAlign w:val="center"/>
          </w:tcPr>
          <w:p w14:paraId="4FCFE705">
            <w:pPr>
              <w:spacing w:line="280" w:lineRule="exact"/>
              <w:rPr>
                <w:rFonts w:hint="eastAsia"/>
                <w:sz w:val="24"/>
              </w:rPr>
            </w:pPr>
          </w:p>
        </w:tc>
      </w:tr>
      <w:tr w14:paraId="190E9C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029A41D8">
            <w:pPr>
              <w:spacing w:line="280" w:lineRule="exac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13、废弃处理</w:t>
            </w:r>
          </w:p>
        </w:tc>
        <w:tc>
          <w:tcPr>
            <w:tcW w:w="10315" w:type="dxa"/>
            <w:noWrap w:val="0"/>
            <w:vAlign w:val="center"/>
          </w:tcPr>
          <w:p w14:paraId="17D82BB6">
            <w:pPr>
              <w:spacing w:line="280" w:lineRule="exac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其废弃油处置应符合环保法规，不可乱弃乱排放</w:t>
            </w:r>
          </w:p>
        </w:tc>
        <w:tc>
          <w:tcPr>
            <w:tcW w:w="1089" w:type="dxa"/>
            <w:noWrap w:val="0"/>
            <w:vAlign w:val="center"/>
          </w:tcPr>
          <w:p w14:paraId="03D60E84">
            <w:pPr>
              <w:spacing w:line="280" w:lineRule="exact"/>
              <w:rPr>
                <w:rFonts w:hint="eastAsia"/>
                <w:sz w:val="24"/>
              </w:rPr>
            </w:pPr>
          </w:p>
        </w:tc>
      </w:tr>
      <w:tr w14:paraId="59DB52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059B8ABC">
            <w:pPr>
              <w:spacing w:line="280" w:lineRule="exac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14、运输信息</w:t>
            </w:r>
          </w:p>
        </w:tc>
        <w:tc>
          <w:tcPr>
            <w:tcW w:w="10315" w:type="dxa"/>
            <w:noWrap w:val="0"/>
            <w:vAlign w:val="center"/>
          </w:tcPr>
          <w:p w14:paraId="15D40821">
            <w:pPr>
              <w:spacing w:line="280" w:lineRule="exact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普通运输</w:t>
            </w:r>
          </w:p>
        </w:tc>
        <w:tc>
          <w:tcPr>
            <w:tcW w:w="1089" w:type="dxa"/>
            <w:noWrap w:val="0"/>
            <w:vAlign w:val="center"/>
          </w:tcPr>
          <w:p w14:paraId="0016D8DA">
            <w:pPr>
              <w:spacing w:line="280" w:lineRule="exact"/>
              <w:rPr>
                <w:rFonts w:hint="eastAsia"/>
                <w:sz w:val="24"/>
              </w:rPr>
            </w:pPr>
          </w:p>
        </w:tc>
      </w:tr>
      <w:tr w14:paraId="0F273A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exact"/>
        </w:trPr>
        <w:tc>
          <w:tcPr>
            <w:tcW w:w="2787" w:type="dxa"/>
            <w:gridSpan w:val="2"/>
            <w:noWrap w:val="0"/>
            <w:vAlign w:val="center"/>
          </w:tcPr>
          <w:p w14:paraId="59C44638">
            <w:pPr>
              <w:spacing w:line="280" w:lineRule="exac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15、法规信息</w:t>
            </w:r>
          </w:p>
        </w:tc>
        <w:tc>
          <w:tcPr>
            <w:tcW w:w="10315" w:type="dxa"/>
            <w:noWrap w:val="0"/>
            <w:vAlign w:val="center"/>
          </w:tcPr>
          <w:p w14:paraId="3AEF4882">
            <w:pPr>
              <w:spacing w:line="280" w:lineRule="exact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区域性法规适用本产品</w:t>
            </w:r>
          </w:p>
        </w:tc>
        <w:tc>
          <w:tcPr>
            <w:tcW w:w="1089" w:type="dxa"/>
            <w:noWrap w:val="0"/>
            <w:vAlign w:val="center"/>
          </w:tcPr>
          <w:p w14:paraId="13C49535">
            <w:pPr>
              <w:spacing w:line="280" w:lineRule="exact"/>
              <w:rPr>
                <w:rFonts w:hint="eastAsia"/>
                <w:sz w:val="24"/>
              </w:rPr>
            </w:pPr>
          </w:p>
        </w:tc>
      </w:tr>
      <w:tr w14:paraId="3C8A28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2787" w:type="dxa"/>
            <w:gridSpan w:val="2"/>
            <w:noWrap w:val="0"/>
            <w:vAlign w:val="center"/>
          </w:tcPr>
          <w:p w14:paraId="45570BDE">
            <w:pPr>
              <w:spacing w:line="280" w:lineRule="exac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16、其他信息</w:t>
            </w:r>
          </w:p>
        </w:tc>
        <w:tc>
          <w:tcPr>
            <w:tcW w:w="10315" w:type="dxa"/>
            <w:noWrap w:val="0"/>
            <w:vAlign w:val="center"/>
          </w:tcPr>
          <w:p w14:paraId="408158BD">
            <w:pPr>
              <w:spacing w:line="280" w:lineRule="exact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南京摩尔工贸有限公司于</w:t>
            </w:r>
            <w:r>
              <w:rPr>
                <w:rFonts w:hint="eastAsia"/>
                <w:sz w:val="24"/>
                <w:lang w:val="en-US" w:eastAsia="zh-CN"/>
              </w:rPr>
              <w:t>25年3月第3次修订</w:t>
            </w:r>
          </w:p>
        </w:tc>
        <w:tc>
          <w:tcPr>
            <w:tcW w:w="1089" w:type="dxa"/>
            <w:noWrap w:val="0"/>
            <w:vAlign w:val="center"/>
          </w:tcPr>
          <w:p w14:paraId="334AD2B1">
            <w:pPr>
              <w:spacing w:line="280" w:lineRule="exact"/>
              <w:rPr>
                <w:rFonts w:hint="eastAsia"/>
                <w:sz w:val="24"/>
              </w:rPr>
            </w:pPr>
          </w:p>
        </w:tc>
      </w:tr>
    </w:tbl>
    <w:p w14:paraId="0FF6224C"/>
    <w:p w14:paraId="3FF726BA"/>
    <w:p w14:paraId="17AD1456">
      <w:pPr>
        <w:rPr>
          <w:rFonts w:hint="eastAsia" w:eastAsiaTheme="minorEastAsia"/>
          <w:lang w:eastAsia="zh-CN"/>
        </w:rPr>
      </w:pPr>
    </w:p>
    <w:sectPr>
      <w:pgSz w:w="16838" w:h="11906" w:orient="landscape"/>
      <w:pgMar w:top="1418" w:right="1418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B7D45"/>
    <w:rsid w:val="123B359B"/>
    <w:rsid w:val="1DA446DA"/>
    <w:rsid w:val="264C6874"/>
    <w:rsid w:val="78EE06B7"/>
    <w:rsid w:val="7F47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2026-02-04T03:27:00Z</dcterms:created>
  <dc:creator>PC</dc:creator>
  <cp:lastModifiedBy>志云</cp:lastModifiedBy>
  <cp:lastPrinted>2026-02-06T09:16:00Z</cp:lastPrinted>
  <dcterms:modified xsi:type="dcterms:W3CDTF">2026-03-25T03:33:55Z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KSOTemplateDocerSaveRecord">
    <vt:lpwstr>eyJoZGlkIjoiNzFmMTEzZTU1NjViZjk5ZmJmODc2OWQyZjIwZGYwMjAiLCJ1c2VySWQiOiI1ODE3NjI0MzQifQ==</vt:lpwstr>
  </property>
  <property fmtid="{D5CDD505-2E9C-101B-9397-08002B2CF9AE}" pid="4" name="ICV">
    <vt:lpwstr>10A8214C63D04027A9EF80DB2883FE94_12</vt:lpwstr>
  </property>
</Properties>
</file>